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B350BD">
        <w:rPr>
          <w:b/>
          <w:sz w:val="24"/>
        </w:rPr>
        <w:t xml:space="preserve"> graniastosłupa i stożka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B350BD">
        <w:t xml:space="preserve"> graniastosłupa prawidłowego sześciokątnego i stożka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</w:t>
      </w:r>
      <w:bookmarkStart w:id="0" w:name="_GoBack"/>
      <w:bookmarkEnd w:id="0"/>
      <w:r>
        <w:rPr>
          <w:rFonts w:ascii="Calibri" w:eastAsia="Calibri" w:hAnsi="Calibri" w:cs="Times New Roman"/>
          <w:color w:val="000000" w:themeColor="text1"/>
        </w:rPr>
        <w:t>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B350BD" w:rsidRPr="00D6017E" w:rsidRDefault="00B350BD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DF910D6" wp14:editId="6B970589">
            <wp:extent cx="5760720" cy="482366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82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50BD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B350BD"/>
    <w:rsid w:val="00B96A1D"/>
    <w:rsid w:val="00D6017E"/>
    <w:rsid w:val="00E2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5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0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50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50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2022-01-13T10:13:00Z</cp:lastPrinted>
  <dcterms:created xsi:type="dcterms:W3CDTF">2022-01-12T12:50:00Z</dcterms:created>
  <dcterms:modified xsi:type="dcterms:W3CDTF">2022-01-13T10:13:00Z</dcterms:modified>
</cp:coreProperties>
</file>